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82" w:rsidRPr="00110D82" w:rsidRDefault="00110D82" w:rsidP="00110D82">
      <w:pPr>
        <w:pBdr>
          <w:bottom w:val="single" w:sz="12" w:space="6" w:color="D7D7CE"/>
        </w:pBdr>
        <w:shd w:val="clear" w:color="auto" w:fill="F9F9ED"/>
        <w:spacing w:after="255" w:line="240" w:lineRule="auto"/>
        <w:outlineLvl w:val="0"/>
        <w:rPr>
          <w:rFonts w:ascii="Arial" w:eastAsia="Times New Roman" w:hAnsi="Arial" w:cs="Arial"/>
          <w:color w:val="683D33"/>
          <w:kern w:val="36"/>
          <w:sz w:val="27"/>
          <w:szCs w:val="27"/>
          <w:lang w:eastAsia="ru-RU"/>
        </w:rPr>
      </w:pPr>
      <w:r w:rsidRPr="00110D82">
        <w:rPr>
          <w:rFonts w:ascii="Arial" w:eastAsia="Times New Roman" w:hAnsi="Arial" w:cs="Arial"/>
          <w:color w:val="683D33"/>
          <w:kern w:val="36"/>
          <w:sz w:val="27"/>
          <w:szCs w:val="27"/>
          <w:lang w:eastAsia="ru-RU"/>
        </w:rPr>
        <w:t>Семейные формы устройства</w:t>
      </w:r>
    </w:p>
    <w:p w:rsidR="00110D82" w:rsidRPr="00110D82" w:rsidRDefault="00110D82" w:rsidP="00110D82">
      <w:pPr>
        <w:shd w:val="clear" w:color="auto" w:fill="F9F9ED"/>
        <w:spacing w:after="225" w:line="240" w:lineRule="auto"/>
        <w:rPr>
          <w:rFonts w:ascii="Arial" w:eastAsia="Times New Roman" w:hAnsi="Arial" w:cs="Arial"/>
          <w:color w:val="1A1A1A"/>
          <w:sz w:val="20"/>
          <w:szCs w:val="20"/>
          <w:lang w:eastAsia="ru-RU"/>
        </w:rPr>
      </w:pPr>
      <w:r w:rsidRPr="00110D82">
        <w:rPr>
          <w:rFonts w:ascii="Arial" w:eastAsia="Times New Roman" w:hAnsi="Arial" w:cs="Arial"/>
          <w:color w:val="1A1A1A"/>
          <w:sz w:val="20"/>
          <w:szCs w:val="20"/>
          <w:lang w:eastAsia="ru-RU"/>
        </w:rPr>
        <w:t>Семейные формы устройства детей наиболее приоритетны, т.к. они дают ребенку возможность получить положительный опыт семейной жизни, пройти внутрисемейный процесс социализации.</w:t>
      </w:r>
    </w:p>
    <w:p w:rsidR="00110D82" w:rsidRPr="00110D82" w:rsidRDefault="00110D82" w:rsidP="00110D82">
      <w:pPr>
        <w:shd w:val="clear" w:color="auto" w:fill="F9F9ED"/>
        <w:spacing w:after="225" w:line="240" w:lineRule="auto"/>
        <w:rPr>
          <w:rFonts w:ascii="Arial" w:eastAsia="Times New Roman" w:hAnsi="Arial" w:cs="Arial"/>
          <w:color w:val="1A1A1A"/>
          <w:sz w:val="20"/>
          <w:szCs w:val="20"/>
          <w:lang w:eastAsia="ru-RU"/>
        </w:rPr>
      </w:pPr>
      <w:r w:rsidRPr="00110D82">
        <w:rPr>
          <w:rFonts w:ascii="Arial" w:eastAsia="Times New Roman" w:hAnsi="Arial" w:cs="Arial"/>
          <w:color w:val="1A1A1A"/>
          <w:sz w:val="20"/>
          <w:szCs w:val="20"/>
          <w:lang w:eastAsia="ru-RU"/>
        </w:rPr>
        <w:t>При устройстве ребенка должны учитываться его этническое происхождение, принадлежность к определенной религии и культуре, родной язык, возможность обеспечения преемственности в воспитании и образовании.</w:t>
      </w:r>
    </w:p>
    <w:p w:rsidR="00110D82" w:rsidRPr="00110D82" w:rsidRDefault="00110D82" w:rsidP="00110D82">
      <w:pPr>
        <w:shd w:val="clear" w:color="auto" w:fill="F9F9ED"/>
        <w:spacing w:after="225" w:line="240" w:lineRule="auto"/>
        <w:rPr>
          <w:rFonts w:ascii="Arial" w:eastAsia="Times New Roman" w:hAnsi="Arial" w:cs="Arial"/>
          <w:color w:val="1A1A1A"/>
          <w:sz w:val="20"/>
          <w:szCs w:val="20"/>
          <w:lang w:eastAsia="ru-RU"/>
        </w:rPr>
      </w:pPr>
      <w:r w:rsidRPr="00110D82">
        <w:rPr>
          <w:rFonts w:ascii="Arial" w:eastAsia="Times New Roman" w:hAnsi="Arial" w:cs="Arial"/>
          <w:color w:val="1A1A1A"/>
          <w:sz w:val="20"/>
          <w:szCs w:val="20"/>
          <w:lang w:eastAsia="ru-RU"/>
        </w:rPr>
        <w:t> </w:t>
      </w:r>
    </w:p>
    <w:p w:rsidR="00110D82" w:rsidRPr="00110D82" w:rsidRDefault="00110D82" w:rsidP="00110D82">
      <w:pPr>
        <w:shd w:val="clear" w:color="auto" w:fill="F9F9ED"/>
        <w:spacing w:after="300" w:line="240" w:lineRule="auto"/>
        <w:jc w:val="center"/>
        <w:outlineLvl w:val="2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110D82"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  <w:t>Семейные формы устройства детей, оставшихся без попечения родителей</w:t>
      </w:r>
    </w:p>
    <w:p w:rsidR="00110D82" w:rsidRPr="00110D82" w:rsidRDefault="00110D82" w:rsidP="00110D82">
      <w:pPr>
        <w:shd w:val="clear" w:color="auto" w:fill="F9F9ED"/>
        <w:spacing w:after="0" w:line="240" w:lineRule="auto"/>
        <w:jc w:val="center"/>
        <w:rPr>
          <w:rFonts w:ascii="Arial" w:eastAsia="Times New Roman" w:hAnsi="Arial" w:cs="Arial"/>
          <w:color w:val="1A1A1A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1A1A1A"/>
          <w:sz w:val="20"/>
          <w:szCs w:val="20"/>
          <w:lang w:eastAsia="ru-RU"/>
        </w:rPr>
        <w:drawing>
          <wp:inline distT="0" distB="0" distL="0" distR="0">
            <wp:extent cx="5848350" cy="3638550"/>
            <wp:effectExtent l="19050" t="0" r="0" b="0"/>
            <wp:docPr id="1" name="Рисунок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D82" w:rsidRPr="00110D82" w:rsidRDefault="00110D82" w:rsidP="00110D82">
      <w:pPr>
        <w:shd w:val="clear" w:color="auto" w:fill="F9F9ED"/>
        <w:spacing w:after="225" w:line="240" w:lineRule="auto"/>
        <w:rPr>
          <w:rFonts w:ascii="Arial" w:eastAsia="Times New Roman" w:hAnsi="Arial" w:cs="Arial"/>
          <w:color w:val="1A1A1A"/>
          <w:sz w:val="20"/>
          <w:szCs w:val="20"/>
          <w:lang w:eastAsia="ru-RU"/>
        </w:rPr>
      </w:pPr>
      <w:r w:rsidRPr="00110D82">
        <w:rPr>
          <w:rFonts w:ascii="Arial" w:eastAsia="Times New Roman" w:hAnsi="Arial" w:cs="Arial"/>
          <w:color w:val="1A1A1A"/>
          <w:sz w:val="20"/>
          <w:szCs w:val="20"/>
          <w:lang w:eastAsia="ru-RU"/>
        </w:rPr>
        <w:t> </w:t>
      </w:r>
    </w:p>
    <w:p w:rsidR="00110D82" w:rsidRPr="00110D82" w:rsidRDefault="00110D82" w:rsidP="00110D82">
      <w:pPr>
        <w:shd w:val="clear" w:color="auto" w:fill="F9F9ED"/>
        <w:spacing w:after="225" w:line="240" w:lineRule="auto"/>
        <w:rPr>
          <w:rFonts w:ascii="Arial" w:eastAsia="Times New Roman" w:hAnsi="Arial" w:cs="Arial"/>
          <w:color w:val="1A1A1A"/>
          <w:sz w:val="20"/>
          <w:szCs w:val="20"/>
          <w:lang w:eastAsia="ru-RU"/>
        </w:rPr>
      </w:pPr>
      <w:r w:rsidRPr="00110D82">
        <w:rPr>
          <w:rFonts w:ascii="Arial" w:eastAsia="Times New Roman" w:hAnsi="Arial" w:cs="Arial"/>
          <w:color w:val="1A1A1A"/>
          <w:sz w:val="20"/>
          <w:szCs w:val="20"/>
          <w:lang w:eastAsia="ru-RU"/>
        </w:rPr>
        <w:t>Организации, в которые дети помещены под надзор, вправе осуществлять временную передачу детей в семьи граждан, постоянно проживающих на территории Российской Федерации. Временная передача ребенка в семью граждан, постоянно проживающих на территории Российской Федерации, не является формой устройства ребенка в семью и осуществляется на основании распоряжения администрации такой организации в интересах ребенка в целях обеспечения его воспитания и гармоничного развития (на период каникул, выходных или нерабочих праздничных дней и другое).</w:t>
      </w:r>
    </w:p>
    <w:p w:rsidR="00110D82" w:rsidRPr="00110D82" w:rsidRDefault="00110D82" w:rsidP="00110D82">
      <w:pPr>
        <w:shd w:val="clear" w:color="auto" w:fill="F9F9ED"/>
        <w:spacing w:after="300" w:line="240" w:lineRule="auto"/>
        <w:jc w:val="center"/>
        <w:outlineLvl w:val="2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110D82"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  <w:t>Сравнительный анализ форм устройства детей, оставшихся без попечения родителей в семьи</w:t>
      </w:r>
    </w:p>
    <w:tbl>
      <w:tblPr>
        <w:tblW w:w="5000" w:type="pct"/>
        <w:shd w:val="clear" w:color="auto" w:fill="F9F9ED"/>
        <w:tblCellMar>
          <w:left w:w="0" w:type="dxa"/>
          <w:right w:w="0" w:type="dxa"/>
        </w:tblCellMar>
        <w:tblLook w:val="04A0"/>
      </w:tblPr>
      <w:tblGrid>
        <w:gridCol w:w="2897"/>
        <w:gridCol w:w="3379"/>
        <w:gridCol w:w="3379"/>
      </w:tblGrid>
      <w:tr w:rsidR="00110D82" w:rsidRPr="00110D82" w:rsidTr="00110D82">
        <w:tc>
          <w:tcPr>
            <w:tcW w:w="1500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10D82" w:rsidRPr="00110D82" w:rsidRDefault="00110D82" w:rsidP="00110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b/>
                <w:bCs/>
                <w:color w:val="1A1A1A"/>
                <w:sz w:val="20"/>
                <w:lang w:eastAsia="ru-RU"/>
              </w:rPr>
              <w:t>Основания и факторы</w:t>
            </w:r>
          </w:p>
        </w:tc>
        <w:tc>
          <w:tcPr>
            <w:tcW w:w="1750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10D82" w:rsidRPr="00110D82" w:rsidRDefault="00110D82" w:rsidP="00110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b/>
                <w:bCs/>
                <w:color w:val="1A1A1A"/>
                <w:sz w:val="20"/>
                <w:lang w:eastAsia="ru-RU"/>
              </w:rPr>
              <w:t>Усыновление</w:t>
            </w:r>
          </w:p>
        </w:tc>
        <w:tc>
          <w:tcPr>
            <w:tcW w:w="1750" w:type="pc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10D82" w:rsidRPr="00110D82" w:rsidRDefault="00110D82" w:rsidP="00110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b/>
                <w:bCs/>
                <w:color w:val="1A1A1A"/>
                <w:sz w:val="20"/>
                <w:lang w:eastAsia="ru-RU"/>
              </w:rPr>
              <w:t>Опека (попечительство)</w:t>
            </w:r>
          </w:p>
        </w:tc>
      </w:tr>
      <w:tr w:rsidR="00110D82" w:rsidRPr="00110D82" w:rsidTr="00110D82"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10D82" w:rsidRPr="00110D82" w:rsidRDefault="00110D82" w:rsidP="00110D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10D82" w:rsidRPr="00110D82" w:rsidRDefault="00110D82" w:rsidP="00110D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10D82" w:rsidRPr="00110D82" w:rsidRDefault="00110D82" w:rsidP="00110D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3</w:t>
            </w:r>
          </w:p>
        </w:tc>
      </w:tr>
      <w:tr w:rsidR="00110D82" w:rsidRPr="00110D82" w:rsidTr="00110D82"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 xml:space="preserve">Федеральные нормативные акты, регулирующие особенности данной </w:t>
            </w: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lastRenderedPageBreak/>
              <w:t>формы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proofErr w:type="gramStart"/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lastRenderedPageBreak/>
              <w:t xml:space="preserve">Семейный кодекс РФ, Гражданский процессуальный кодекс РФ, Постановление Правительства РФ от 29.03.2000 </w:t>
            </w: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lastRenderedPageBreak/>
              <w:t>г. № 275 «Об утверждении правил передачи детей на усыновление (удочерение) и осуществлении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детей, являющихся гражданами Российской Федерации и усыновленных иностранными гражданами или лицами без гражданства»</w:t>
            </w:r>
            <w:proofErr w:type="gramEnd"/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24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lastRenderedPageBreak/>
              <w:t xml:space="preserve">Семейный кодекс РФ, Гражданский кодекс РФ, Федеральный закон от 24.04.2008 г. № 48-ФЗ «Об </w:t>
            </w: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lastRenderedPageBreak/>
              <w:t>опеке и попечительстве»,</w:t>
            </w: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br/>
              <w:t>Постановление Правительства РФ от 18.05.2009 г. № 423</w:t>
            </w: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br/>
              <w:t>«Об отдельных вопросах осуществления опеки и попечительства в отношении несовершеннолетних граждан»</w:t>
            </w:r>
          </w:p>
        </w:tc>
      </w:tr>
      <w:tr w:rsidR="00110D82" w:rsidRPr="00110D82" w:rsidTr="00110D82"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lastRenderedPageBreak/>
              <w:t>Основание возникновения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Решение суда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Безвозмездная форма - акт органа опеки и попечительства о назначении опекуна (попечителя). Возмездная форма опеки - акт органа опеки и попечительства о назначении опекуна (попечителя) с последующим заключением соответствующего договора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</w:tblGrid>
            <w:tr w:rsidR="00110D82" w:rsidRPr="00110D82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10D82" w:rsidRPr="00110D82" w:rsidRDefault="00110D82" w:rsidP="00110D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</w:p>
        </w:tc>
      </w:tr>
      <w:tr w:rsidR="00110D82" w:rsidRPr="00110D82" w:rsidTr="00110D82">
        <w:trPr>
          <w:trHeight w:val="750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Согласие ребенка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Требуется согласие ребенка, достигшего 10-летнего возраста</w:t>
            </w:r>
          </w:p>
        </w:tc>
      </w:tr>
      <w:tr w:rsidR="00110D82" w:rsidRPr="00110D82" w:rsidTr="00110D82"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Характер возникающих отношений с детьми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Возникают такие же права и обязанности, как между родителями и детьми, другими родственниками по происхождению, которые предусмотрены нормами других отраслей законодательства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Безвозмездная форма - акт органа опеки и попечительства о назначении опекуна (попечителя). Возмездная форма опеки - акт органа опеки и попечительства о назначении опекуна (попечителя) с последующим заключением соответствующего договора</w:t>
            </w:r>
          </w:p>
        </w:tc>
      </w:tr>
      <w:tr w:rsidR="00110D82" w:rsidRPr="00110D82" w:rsidTr="00110D82"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Прекращение правоотношений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Носят постоянный характер, но возможна отмена усыновления в судебном порядке в случаях, предусмотренных законодательством.</w:t>
            </w:r>
            <w:r w:rsidRPr="00110D82">
              <w:rPr>
                <w:rFonts w:ascii="Arial" w:eastAsia="Times New Roman" w:hAnsi="Arial" w:cs="Arial"/>
                <w:color w:val="1A1A1A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10D82" w:rsidRPr="00110D82" w:rsidRDefault="00110D82" w:rsidP="00110D82">
            <w:pPr>
              <w:spacing w:after="0" w:line="240" w:lineRule="auto"/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</w:pPr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 xml:space="preserve">Опека прекращается по достижении </w:t>
            </w:r>
            <w:proofErr w:type="gramStart"/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малолетним</w:t>
            </w:r>
            <w:proofErr w:type="gramEnd"/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 xml:space="preserve"> 14 лет. В таких случаях опекун автоматически становится попечителем </w:t>
            </w:r>
            <w:proofErr w:type="gramStart"/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до</w:t>
            </w:r>
            <w:proofErr w:type="gramEnd"/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>достижении</w:t>
            </w:r>
            <w:proofErr w:type="gramEnd"/>
            <w:r w:rsidRPr="00110D82">
              <w:rPr>
                <w:rFonts w:ascii="Arial" w:eastAsia="Times New Roman" w:hAnsi="Arial" w:cs="Arial"/>
                <w:color w:val="1A1A1A"/>
                <w:sz w:val="20"/>
                <w:szCs w:val="20"/>
                <w:lang w:eastAsia="ru-RU"/>
              </w:rPr>
              <w:t xml:space="preserve"> несовершеннолетним 18 лет. При заключении соответствующего договора – на срок, указанный в договоре.</w:t>
            </w:r>
          </w:p>
        </w:tc>
      </w:tr>
    </w:tbl>
    <w:p w:rsidR="00EE32D9" w:rsidRDefault="00EE32D9"/>
    <w:sectPr w:rsidR="00EE32D9" w:rsidSect="00EE3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D82"/>
    <w:rsid w:val="00110D82"/>
    <w:rsid w:val="00EE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2D9"/>
  </w:style>
  <w:style w:type="paragraph" w:styleId="1">
    <w:name w:val="heading 1"/>
    <w:basedOn w:val="a"/>
    <w:link w:val="10"/>
    <w:uiPriority w:val="9"/>
    <w:qFormat/>
    <w:rsid w:val="00110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10D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0D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0D8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D82"/>
    <w:rPr>
      <w:b/>
      <w:bCs/>
    </w:rPr>
  </w:style>
  <w:style w:type="character" w:customStyle="1" w:styleId="apple-converted-space">
    <w:name w:val="apple-converted-space"/>
    <w:basedOn w:val="a0"/>
    <w:rsid w:val="00110D82"/>
  </w:style>
  <w:style w:type="paragraph" w:styleId="a5">
    <w:name w:val="Balloon Text"/>
    <w:basedOn w:val="a"/>
    <w:link w:val="a6"/>
    <w:uiPriority w:val="99"/>
    <w:semiHidden/>
    <w:unhideWhenUsed/>
    <w:rsid w:val="00110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474</Words>
  <Characters>2708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2015-11-02T10:50:00Z</dcterms:created>
  <dcterms:modified xsi:type="dcterms:W3CDTF">2015-11-02T10:50:00Z</dcterms:modified>
</cp:coreProperties>
</file>